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4A8E" w:rsidR="00544A18" w:rsidP="00D34A8E" w:rsidRDefault="00544A18" w14:paraId="18F60EDF" w14:textId="7B326BC9">
      <w:pPr>
        <w:pStyle w:val="topnrdato"/>
      </w:pPr>
      <w:r w:rsidRPr="00D34A8E">
        <w:t>Nr. 80</w:t>
      </w:r>
      <w:r w:rsidRPr="00D34A8E">
        <w:tab/>
        <w:t>6. mai 2022</w:t>
      </w:r>
    </w:p>
    <w:p w:rsidRPr="00D34A8E" w:rsidR="00DF0C79" w:rsidP="00D34A8E" w:rsidRDefault="00DF0C79" w14:paraId="69AA8E50" w14:textId="6DD6971B">
      <w:pPr>
        <w:pStyle w:val="Titel"/>
      </w:pPr>
      <w:r w:rsidRPr="00D34A8E">
        <w:t>Løgtingslóg um</w:t>
      </w:r>
      <w:r w:rsidRPr="00D34A8E" w:rsidR="00D34A8E">
        <w:t xml:space="preserve"> </w:t>
      </w:r>
      <w:r w:rsidRPr="00D34A8E">
        <w:t>barnaváttanir</w:t>
      </w:r>
    </w:p>
    <w:p w:rsidRPr="00D34A8E" w:rsidR="00DF0C79" w:rsidP="00D34A8E" w:rsidRDefault="00DF0C79" w14:paraId="773FC582" w14:textId="20E19892">
      <w:pPr>
        <w:pStyle w:val="subtitel"/>
      </w:pPr>
      <w:r w:rsidRPr="00D34A8E">
        <w:t>(Barnaváttanarlógin)</w:t>
      </w:r>
    </w:p>
    <w:p w:rsidRPr="00D34A8E" w:rsidR="00501612" w:rsidP="00D34A8E" w:rsidRDefault="00501612" w14:paraId="2352D1EA" w14:textId="5CD7566C">
      <w:pPr>
        <w:pStyle w:val="Indledning"/>
      </w:pPr>
      <w:r w:rsidRPr="00D34A8E">
        <w:t>Samsvarandi samtykt Løgtingsins staðfestir og kunnger løgmaður hesa løgtingslóg:</w:t>
      </w:r>
    </w:p>
    <w:p w:rsidRPr="00D34A8E" w:rsidR="00DF0C79" w:rsidP="00D34A8E" w:rsidRDefault="00DF0C79" w14:paraId="1F8361CF" w14:textId="4C1B4B32">
      <w:pPr>
        <w:pStyle w:val="Tekstoverskrift"/>
      </w:pPr>
      <w:r w:rsidRPr="00D34A8E">
        <w:t>Virkisøki</w:t>
      </w:r>
    </w:p>
    <w:p w:rsidRPr="00D34A8E" w:rsidR="00DF0C79" w:rsidP="00D34A8E" w:rsidRDefault="00DF0C79" w14:paraId="1389FA9C" w14:textId="4E208E76">
      <w:pPr>
        <w:pStyle w:val="Paragraftekst"/>
      </w:pPr>
      <w:r w:rsidRPr="00D34A8E">
        <w:rPr>
          <w:b/>
        </w:rPr>
        <w:t>§ 1.</w:t>
      </w:r>
      <w:r w:rsidRPr="00D34A8E">
        <w:t xml:space="preserve"> Løgtingslógin er galdandi fyri landsstovnar, kommunalar stovnar og privatar løgfrøðiligar persónar.</w:t>
      </w:r>
    </w:p>
    <w:p w:rsidRPr="00D34A8E" w:rsidR="00DF0C79" w:rsidP="00D34A8E" w:rsidRDefault="00DF0C79" w14:paraId="0C8317B0" w14:textId="520621C7">
      <w:pPr>
        <w:pStyle w:val="Tekstoverskrift"/>
      </w:pPr>
      <w:r w:rsidRPr="00D34A8E">
        <w:t>Allýsingar</w:t>
      </w:r>
    </w:p>
    <w:p w:rsidRPr="00D34A8E" w:rsidR="00DF0C79" w:rsidP="00D34A8E" w:rsidRDefault="00DF0C79" w14:paraId="09DD609D" w14:textId="504AB21F">
      <w:pPr>
        <w:pStyle w:val="Paragraftekst"/>
      </w:pPr>
      <w:r w:rsidRPr="00D34A8E">
        <w:rPr>
          <w:b/>
        </w:rPr>
        <w:t>§ 2.</w:t>
      </w:r>
      <w:r w:rsidRPr="00D34A8E">
        <w:t xml:space="preserve"> Ein barnaváttan sambært hesi løgtingslóg er ein váttan við teimum upplýsingum, ið eru nevndar í § 36 í bekendtgørelse for Færøerne om behandling af personoplysninger i Det Centrale Kriminalregister (Kriminalregisteret).</w:t>
      </w:r>
    </w:p>
    <w:p w:rsidRPr="00D34A8E" w:rsidR="00DF0C79" w:rsidP="00D34A8E" w:rsidRDefault="00DF0C79" w14:paraId="26CF62AD" w14:textId="5CA03F81">
      <w:pPr>
        <w:pStyle w:val="Paragraftekst"/>
      </w:pPr>
      <w:r w:rsidRPr="00D34A8E">
        <w:rPr>
          <w:b/>
          <w:bCs/>
        </w:rPr>
        <w:t>§ 3.</w:t>
      </w:r>
      <w:r w:rsidRPr="00D34A8E">
        <w:t xml:space="preserve"> Ein arbeiðsgevari sambært hesi løgtingslóg er einhvør landsstovnur, kommunalur stovnur ella privatur løgfrøðiligur persónur, ið setur persón, sum er 15 ár ella eldri, í starv ella setur persón, sum er 15 ár ella eldri, til ávísa uppgávu, sama um hetta er lønt ella ólønt, ella um starvið ella uppgávan er varandi ella tíðaravmarkað. </w:t>
      </w:r>
    </w:p>
    <w:p w:rsidRPr="00D34A8E" w:rsidR="00DF0C79" w:rsidP="00D34A8E" w:rsidRDefault="00DF0C79" w14:paraId="6AE35C36" w14:textId="0AB11574">
      <w:pPr>
        <w:pStyle w:val="Tekstoverskrift"/>
      </w:pPr>
      <w:r w:rsidRPr="00D34A8E">
        <w:t>Skyldan at útvega barnaváttan</w:t>
      </w:r>
    </w:p>
    <w:p w:rsidRPr="00D34A8E" w:rsidR="00DF0C79" w:rsidP="00D34A8E" w:rsidRDefault="00DF0C79" w14:paraId="2F557C07" w14:textId="4A3AEA14">
      <w:pPr>
        <w:pStyle w:val="Paragraftekst"/>
      </w:pPr>
      <w:r w:rsidRPr="00D34A8E">
        <w:rPr>
          <w:b/>
          <w:bCs/>
        </w:rPr>
        <w:t>§ 4.</w:t>
      </w:r>
      <w:r w:rsidRPr="00D34A8E">
        <w:t xml:space="preserve"> Um eitt starv ella ein uppgáva ber í sær beinleiðis og regluligt samband við børn undir 15 ár, ella um tann, ið settur verður, sum liður í starvinum ella uppgávuni, fær møguleika at koma í beinleiðis og regluligt samband við børn undir 15 ár, hevur arbeiðsgevari skyldu til at útvega sær eina barnaváttan sambært § 2, áðrenn viðkomandi verður settur í starv ella verður settur til uppgávuna, sbr. tó stk. 4.</w:t>
      </w:r>
    </w:p>
    <w:p w:rsidRPr="00D34A8E" w:rsidR="00DF0C79" w:rsidP="00D34A8E" w:rsidRDefault="00DF0C79" w14:paraId="7D83EE7B" w14:textId="77777777">
      <w:pPr>
        <w:pStyle w:val="Stk"/>
      </w:pPr>
      <w:r w:rsidRPr="00D34A8E">
        <w:rPr>
          <w:i/>
          <w:iCs/>
        </w:rPr>
        <w:t>Stk. 2.</w:t>
      </w:r>
      <w:r w:rsidRPr="00D34A8E">
        <w:t xml:space="preserve"> Skyldan sambært stk. 1 fevnir harumframt um hjúnafelagar, sambúgvar, heimabúgvandi børn yvir 15 ár o.o., sum umvegis sítt fasta tilknýti til tann, ið setast skal í starv, fáa møguleika at koma í beinleiðis og regluligt samband við børn undir 15 ár.</w:t>
      </w:r>
    </w:p>
    <w:p w:rsidRPr="00D34A8E" w:rsidR="00DF0C79" w:rsidP="00D34A8E" w:rsidRDefault="00DF0C79" w14:paraId="4960F200" w14:textId="5132E84B">
      <w:pPr>
        <w:pStyle w:val="Stk"/>
      </w:pPr>
      <w:r w:rsidRPr="00D34A8E">
        <w:rPr>
          <w:i/>
        </w:rPr>
        <w:t>Stk. 3.</w:t>
      </w:r>
      <w:r w:rsidRPr="00D34A8E">
        <w:t xml:space="preserve"> Um arbeiðsgevari lýsir alment eftir umsøkjarum til starv sambært stk. 1, skal greitt tilskilast í starvslýsingini, at arbeiðsgevarin hevur skyldu til at útvega barnaváttan sambært § 2, áðrenn setanin verður framd.</w:t>
      </w:r>
    </w:p>
    <w:p w:rsidRPr="00D34A8E" w:rsidR="00DF0C79" w:rsidP="00D34A8E" w:rsidRDefault="00DF0C79" w14:paraId="2730B3A8" w14:textId="290655B9">
      <w:pPr>
        <w:pStyle w:val="Stk"/>
      </w:pPr>
      <w:r w:rsidRPr="00D34A8E">
        <w:rPr>
          <w:i/>
          <w:iCs/>
        </w:rPr>
        <w:t>Stk. 4.</w:t>
      </w:r>
      <w:r w:rsidRPr="00D34A8E">
        <w:t xml:space="preserve"> Er tað av praktiskum orsøkum ikki gjørligt at útvega barnaváttan, áðrenn viðkomandi verður settur til ávísa uppgávu, ið ber í sær beinleiðis og regluligt samband við børn undir 15 ár, skal barnaváttanin verða fingin til vegar skjótast gjørligt og í seinasta lagi 4 vikur eftir, at viðkomandi er settur til uppgávuna. </w:t>
      </w:r>
    </w:p>
    <w:p w:rsidRPr="00D34A8E" w:rsidR="00DF0C79" w:rsidP="00D34A8E" w:rsidRDefault="00DF0C79" w14:paraId="60B3B34C" w14:textId="4690B199">
      <w:pPr>
        <w:pStyle w:val="Stk"/>
      </w:pPr>
      <w:r w:rsidRPr="00D34A8E">
        <w:rPr>
          <w:i/>
          <w:iCs/>
        </w:rPr>
        <w:t>Stk. 5.</w:t>
      </w:r>
      <w:r w:rsidRPr="00D34A8E">
        <w:t xml:space="preserve"> Ásetingin í stk. 4 er ikki galdandi fyri starvssetanir. </w:t>
      </w:r>
    </w:p>
    <w:p w:rsidRPr="00D34A8E" w:rsidR="00DF0C79" w:rsidP="00D34A8E" w:rsidRDefault="00DF0C79" w14:paraId="3499FA86" w14:textId="37FA05BC">
      <w:pPr>
        <w:pStyle w:val="Paragraftekst"/>
      </w:pPr>
      <w:r w:rsidRPr="00D34A8E">
        <w:rPr>
          <w:b/>
        </w:rPr>
        <w:t>§ 5.</w:t>
      </w:r>
      <w:r w:rsidRPr="00D34A8E">
        <w:rPr>
          <w:bCs/>
        </w:rPr>
        <w:t xml:space="preserve"> </w:t>
      </w:r>
      <w:r w:rsidRPr="00D34A8E">
        <w:t>Hóast ásetingina í § 4 skal barnaváttan ikki fáast til vegar, tá viðkomandi verður settur í nýtt starv, ella verður settur til nýggja uppgávu, hjá sama arbeiðsgevara. Tað sama er galdandi, tá viðkomandi verður endursettur, tá brotið í setanartíðini er orsakað av natúrligum broti, so sum summarferiu, nýggjum tíðarskeiði, bygnaðarligari umskipan ella endurnýggjan av tíðaravmarkaðum starvi, har samanhangur í tíð er millum gomlu og nýggju setanina.</w:t>
      </w:r>
    </w:p>
    <w:p w:rsidRPr="00D34A8E" w:rsidR="00DF0C79" w:rsidP="00D34A8E" w:rsidRDefault="00DF0C79" w14:paraId="122CB342" w14:textId="77777777">
      <w:pPr>
        <w:pStyle w:val="Paragraftekst"/>
      </w:pPr>
      <w:r w:rsidRPr="00D34A8E">
        <w:rPr>
          <w:b/>
        </w:rPr>
        <w:t>§ 6.</w:t>
      </w:r>
      <w:r w:rsidRPr="00D34A8E">
        <w:t xml:space="preserve"> Barnaváttan kann bert verða fingin til vegar við skrivligum samtykki frá tí, ið barnaváttanin viðvíkur.</w:t>
      </w:r>
    </w:p>
    <w:p w:rsidRPr="00D34A8E" w:rsidR="00DF0C79" w:rsidP="00D34A8E" w:rsidRDefault="00DF0C79" w14:paraId="22A5AFA8" w14:textId="0DBADE42">
      <w:pPr>
        <w:pStyle w:val="Stk"/>
      </w:pPr>
      <w:r w:rsidRPr="00D34A8E">
        <w:rPr>
          <w:i/>
          <w:iCs/>
        </w:rPr>
        <w:t>Stk. 2.</w:t>
      </w:r>
      <w:r w:rsidRPr="00D34A8E">
        <w:t xml:space="preserve"> Tey, ið hava atgongd til barnaváttanir, ið eru fingnar til vegar sambært hesi løgtingslóg, eru fevnd av reglunum um tagnarskyldu í revsilógini.</w:t>
      </w:r>
    </w:p>
    <w:p w:rsidRPr="00D34A8E" w:rsidR="00DF0C79" w:rsidP="00D34A8E" w:rsidRDefault="00DF0C79" w14:paraId="2E3E15F8" w14:textId="54ED3F1A">
      <w:pPr>
        <w:pStyle w:val="Paragraftekst"/>
      </w:pPr>
      <w:r w:rsidRPr="00D34A8E">
        <w:rPr>
          <w:b/>
        </w:rPr>
        <w:t>§ 7.</w:t>
      </w:r>
      <w:r w:rsidRPr="00D34A8E">
        <w:t xml:space="preserve"> Sýtir persónur fyri at geva samtykki til, at barnaváttan verður fingin til vegar, áðrenn viðkomandi verður settur í starv, ella verður settur til ávísa uppgávu, kann arbeiðsgevarin ikki seta viðkomandi í starv ella til ávísa uppgávu. </w:t>
      </w:r>
    </w:p>
    <w:p w:rsidRPr="00D34A8E" w:rsidR="00DF0C79" w:rsidP="00D34A8E" w:rsidRDefault="00DF0C79" w14:paraId="365E09E5" w14:textId="528F6212">
      <w:pPr>
        <w:pStyle w:val="Paragraftekst"/>
      </w:pPr>
      <w:r w:rsidRPr="00D34A8E">
        <w:rPr>
          <w:b/>
        </w:rPr>
        <w:t>§ 8.</w:t>
      </w:r>
      <w:r w:rsidRPr="00D34A8E">
        <w:t xml:space="preserve"> Landsstýrismaðurin kann áseta reglur um, at barnaváttan og samtykki í tí sambandi skulu fáast til vegar umvegis talgilda skipan.</w:t>
      </w:r>
    </w:p>
    <w:p w:rsidRPr="00D34A8E" w:rsidR="00A6721A" w:rsidP="00D34A8E" w:rsidRDefault="00A6721A" w14:paraId="0456F3CC" w14:textId="2C9A99F8">
      <w:pPr>
        <w:pStyle w:val="Paragraftekst"/>
        <w:rPr>
          <w:shd w:val="clear" w:color="auto" w:fill="FFFFFF"/>
        </w:rPr>
      </w:pPr>
      <w:r w:rsidRPr="00D34A8E">
        <w:rPr>
          <w:b/>
          <w:bCs/>
          <w:shd w:val="clear" w:color="auto" w:fill="FFFFFF"/>
        </w:rPr>
        <w:t>§ 9.</w:t>
      </w:r>
      <w:r w:rsidRPr="00D34A8E">
        <w:rPr>
          <w:shd w:val="clear" w:color="auto" w:fill="FFFFFF"/>
        </w:rPr>
        <w:t xml:space="preserve"> </w:t>
      </w:r>
      <w:r w:rsidRPr="00D34A8E" w:rsidR="00C51D6B">
        <w:rPr>
          <w:shd w:val="clear" w:color="auto" w:fill="FFFFFF"/>
        </w:rPr>
        <w:t>Vísir barnaváttanin, at viðkomandi persónur er dømdur fyri kynsligt brotsverk ella kynsligan harðskap, kann arbeiðsgevarin tó ikki seta viðkomandi í starv ella til ávísa uppgávu. Tó kunnu frávik gerast, tá talan er um brot á § 222, stk. 1 í revsilógini og talan er um linnandi umstøður</w:t>
      </w:r>
      <w:r w:rsidRPr="00D34A8E">
        <w:rPr>
          <w:shd w:val="clear" w:color="auto" w:fill="FFFFFF"/>
        </w:rPr>
        <w:t>.</w:t>
      </w:r>
    </w:p>
    <w:p w:rsidRPr="00D34A8E" w:rsidR="00DF0C79" w:rsidP="00D34A8E" w:rsidRDefault="00DF0C79" w14:paraId="4FA22DDA" w14:textId="42118A8C">
      <w:pPr>
        <w:pStyle w:val="Tekstoverskrift"/>
      </w:pPr>
      <w:r w:rsidRPr="00D34A8E">
        <w:t>Revsiásetingar</w:t>
      </w:r>
    </w:p>
    <w:p w:rsidRPr="00D34A8E" w:rsidR="0098302C" w:rsidP="00D34A8E" w:rsidRDefault="00DF0C79" w14:paraId="4D4D1095" w14:textId="77777777">
      <w:pPr>
        <w:pStyle w:val="Paragraftekst"/>
        <w:rPr>
          <w:bCs/>
        </w:rPr>
      </w:pPr>
      <w:r w:rsidRPr="00D34A8E">
        <w:rPr>
          <w:b/>
        </w:rPr>
        <w:t xml:space="preserve">§ </w:t>
      </w:r>
      <w:r w:rsidRPr="00D34A8E" w:rsidR="00A6721A">
        <w:rPr>
          <w:b/>
        </w:rPr>
        <w:t>1</w:t>
      </w:r>
      <w:r w:rsidRPr="00D34A8E" w:rsidR="00C51D6B">
        <w:rPr>
          <w:b/>
        </w:rPr>
        <w:t>0</w:t>
      </w:r>
      <w:r w:rsidRPr="00D34A8E">
        <w:rPr>
          <w:b/>
        </w:rPr>
        <w:t>.</w:t>
      </w:r>
      <w:r w:rsidRPr="00D34A8E">
        <w:rPr>
          <w:bCs/>
        </w:rPr>
        <w:t xml:space="preserve"> </w:t>
      </w:r>
      <w:r w:rsidRPr="00D34A8E" w:rsidR="00A6721A">
        <w:rPr>
          <w:shd w:val="clear" w:color="auto" w:fill="FFFFFF"/>
        </w:rPr>
        <w:t>Tilætlað brot á § 4, stk. 1 og 2</w:t>
      </w:r>
      <w:r w:rsidRPr="00D34A8E" w:rsidR="00C51D6B">
        <w:rPr>
          <w:shd w:val="clear" w:color="auto" w:fill="FFFFFF"/>
        </w:rPr>
        <w:t>,</w:t>
      </w:r>
      <w:r w:rsidRPr="00D34A8E" w:rsidR="00A6721A">
        <w:rPr>
          <w:shd w:val="clear" w:color="auto" w:fill="FFFFFF"/>
        </w:rPr>
        <w:t xml:space="preserve"> § 7</w:t>
      </w:r>
      <w:r w:rsidRPr="00D34A8E" w:rsidR="00C51D6B">
        <w:rPr>
          <w:shd w:val="clear" w:color="auto" w:fill="FFFFFF"/>
        </w:rPr>
        <w:t xml:space="preserve"> og §</w:t>
      </w:r>
      <w:r w:rsidRPr="00D34A8E" w:rsidR="00A6721A">
        <w:rPr>
          <w:shd w:val="clear" w:color="auto" w:fill="FFFFFF"/>
        </w:rPr>
        <w:t xml:space="preserve"> 9</w:t>
      </w:r>
      <w:r w:rsidRPr="00D34A8E" w:rsidR="00C51D6B">
        <w:rPr>
          <w:shd w:val="clear" w:color="auto" w:fill="FFFFFF"/>
        </w:rPr>
        <w:t xml:space="preserve">, stk. 1, 1. pkt. </w:t>
      </w:r>
      <w:r w:rsidRPr="00D34A8E" w:rsidR="00A6721A">
        <w:rPr>
          <w:shd w:val="clear" w:color="auto" w:fill="FFFFFF"/>
        </w:rPr>
        <w:t>verður revsað við sekt.</w:t>
      </w:r>
      <w:r w:rsidRPr="00D34A8E" w:rsidR="0098302C">
        <w:rPr>
          <w:bCs/>
        </w:rPr>
        <w:t xml:space="preserve"> </w:t>
      </w:r>
    </w:p>
    <w:p w:rsidRPr="00D34A8E" w:rsidR="00DF0C79" w:rsidP="00D34A8E" w:rsidRDefault="00DF0C79" w14:paraId="1333F64E" w14:textId="30005E2A">
      <w:pPr>
        <w:pStyle w:val="Stk"/>
        <w:rPr>
          <w:bCs/>
        </w:rPr>
      </w:pPr>
      <w:r w:rsidRPr="00D34A8E">
        <w:rPr>
          <w:bCs/>
          <w:i/>
          <w:iCs/>
        </w:rPr>
        <w:t>Stk. 2.</w:t>
      </w:r>
      <w:r w:rsidRPr="00D34A8E">
        <w:rPr>
          <w:shd w:val="clear" w:color="auto" w:fill="FFFFFF"/>
        </w:rPr>
        <w:t xml:space="preserve"> Fyri brot á hesa grein koma feløg og aðrir løgfrøðiligir persónar undir revsiábyrgd eftir reglunum í kapitli 5 í revsilógini.</w:t>
      </w:r>
    </w:p>
    <w:p w:rsidRPr="00D34A8E" w:rsidR="00DF0C79" w:rsidP="00D34A8E" w:rsidRDefault="00DF0C79" w14:paraId="4B7CBC6B" w14:textId="192934B2">
      <w:pPr>
        <w:pStyle w:val="Stk"/>
        <w:rPr>
          <w:bCs/>
        </w:rPr>
      </w:pPr>
      <w:r w:rsidRPr="00D34A8E">
        <w:rPr>
          <w:bCs/>
          <w:i/>
          <w:iCs/>
        </w:rPr>
        <w:t>Stk. 3.</w:t>
      </w:r>
      <w:r w:rsidRPr="00D34A8E">
        <w:rPr>
          <w:bCs/>
        </w:rPr>
        <w:t xml:space="preserve"> Stk. 1 er ikki galdandi fyri almennar fyrisitingarmyndugleikar. </w:t>
      </w:r>
    </w:p>
    <w:p w:rsidRPr="00D34A8E" w:rsidR="0098302C" w:rsidP="00D34A8E" w:rsidRDefault="00DF0C79" w14:paraId="7DF366F8" w14:textId="35FCF354">
      <w:pPr>
        <w:pStyle w:val="Stk"/>
      </w:pPr>
      <w:r w:rsidRPr="00D34A8E">
        <w:rPr>
          <w:bCs/>
          <w:i/>
          <w:iCs/>
        </w:rPr>
        <w:t xml:space="preserve">Stk. 4. </w:t>
      </w:r>
      <w:r w:rsidRPr="00D34A8E">
        <w:t>Lógarbrot sambært hesi løgtingslóg verða lógsøkt við almennari átalu.</w:t>
      </w:r>
    </w:p>
    <w:p w:rsidRPr="00D34A8E" w:rsidR="0098302C" w:rsidP="00D34A8E" w:rsidRDefault="0098302C" w14:paraId="6720D9A4" w14:textId="440FA885">
      <w:pPr>
        <w:pStyle w:val="Tekstoverskrift"/>
      </w:pPr>
      <w:r w:rsidRPr="00D34A8E">
        <w:t>Eftirmeting</w:t>
      </w:r>
    </w:p>
    <w:p w:rsidRPr="00D34A8E" w:rsidR="00DF0C79" w:rsidP="00D34A8E" w:rsidRDefault="0098302C" w14:paraId="5C41810F" w14:textId="27C0C957">
      <w:pPr>
        <w:pStyle w:val="Paragraftekst"/>
        <w:rPr>
          <w:bCs/>
        </w:rPr>
      </w:pPr>
      <w:r w:rsidRPr="00D34A8E">
        <w:rPr>
          <w:b/>
          <w:bCs/>
        </w:rPr>
        <w:t>§ 11</w:t>
      </w:r>
      <w:r w:rsidRPr="00D34A8E">
        <w:t>. Landsstýrismaðurin setir í løgtingsárinum 2027 fram løgtingslógaruppskot um endurskoðan av løgtingslógini.</w:t>
      </w:r>
    </w:p>
    <w:p w:rsidRPr="00D34A8E" w:rsidR="00DF0C79" w:rsidP="00D34A8E" w:rsidRDefault="00DF0C79" w14:paraId="37ECA6F2" w14:textId="29F8CBF9">
      <w:pPr>
        <w:pStyle w:val="Tekstoverskrift"/>
      </w:pPr>
      <w:r w:rsidRPr="00D34A8E">
        <w:t>Gildiskoma og skiftisreglur</w:t>
      </w:r>
    </w:p>
    <w:p w:rsidRPr="00D34A8E" w:rsidR="00DF0C79" w:rsidP="00D34A8E" w:rsidRDefault="00DF0C79" w14:paraId="0CCD514F" w14:textId="52925037">
      <w:pPr>
        <w:pStyle w:val="Paragraftekst"/>
      </w:pPr>
      <w:r w:rsidRPr="00D34A8E">
        <w:rPr>
          <w:b/>
        </w:rPr>
        <w:t>§ 1</w:t>
      </w:r>
      <w:r w:rsidRPr="00D34A8E" w:rsidR="00A6721A">
        <w:rPr>
          <w:b/>
        </w:rPr>
        <w:t>2</w:t>
      </w:r>
      <w:r w:rsidRPr="00D34A8E">
        <w:rPr>
          <w:b/>
        </w:rPr>
        <w:t>.</w:t>
      </w:r>
      <w:r w:rsidRPr="00D34A8E">
        <w:rPr>
          <w:bCs/>
        </w:rPr>
        <w:t xml:space="preserve"> </w:t>
      </w:r>
      <w:r w:rsidRPr="00D34A8E">
        <w:t xml:space="preserve">Henda løgtingslóg kemur í gildi 1. </w:t>
      </w:r>
      <w:r w:rsidRPr="00D34A8E" w:rsidR="0098302C">
        <w:t>juni</w:t>
      </w:r>
      <w:r w:rsidRPr="00D34A8E" w:rsidR="00A6721A">
        <w:t xml:space="preserve"> </w:t>
      </w:r>
      <w:r w:rsidRPr="00D34A8E">
        <w:t xml:space="preserve">2022 og er galdandi fyri nýggjar starvssetanir, ið verða framdar eftir, at løgtingslógin er komin í gildi, tó undantikið setanir hjá sama arbeiðsgevara fevndar av § 5. </w:t>
      </w:r>
    </w:p>
    <w:p w:rsidRPr="00D34A8E" w:rsidR="00DF0C79" w:rsidP="00D34A8E" w:rsidRDefault="00DF0C79" w14:paraId="056EF25E" w14:textId="1D13B642">
      <w:pPr>
        <w:pStyle w:val="Stk"/>
      </w:pPr>
      <w:r w:rsidRPr="00D34A8E">
        <w:rPr>
          <w:i/>
          <w:iCs/>
        </w:rPr>
        <w:t>Stk. 2.</w:t>
      </w:r>
      <w:r w:rsidRPr="00D34A8E">
        <w:t xml:space="preserve"> Um arbeiðsgevari setur persón til ávísa uppgávu, sum viðkomandi hevur sett til uppgávu áðrenn gildiskomu løgtingslógarinnar, skal arbeiðsgevari útvega barnaváttan eftir § 4, hóast viðkomandi persónur áður er settur til ávísa uppgávu hjá sama arbeiðsgevara. Eftir hetta er § 5 galdandi.</w:t>
      </w:r>
    </w:p>
    <w:p w:rsidRPr="00D34A8E" w:rsidR="00F628EC" w:rsidP="00700558" w:rsidRDefault="00F628EC" w14:paraId="25509E9C" w14:textId="1A1DC8AD">
      <w:pPr>
        <w:jc w:val="center"/>
      </w:pPr>
    </w:p>
    <w:p w:rsidRPr="00D34A8E" w:rsidR="000367EA" w:rsidP="00D34A8E" w:rsidRDefault="000367EA" w14:paraId="5BDB893F" w14:textId="77777777">
      <w:pPr>
        <w:jc w:val="center"/>
      </w:pPr>
    </w:p>
    <w:p w:rsidRPr="00D34A8E" w:rsidR="00501612" w:rsidP="00700558" w:rsidRDefault="00501612" w14:paraId="51FE7B22" w14:textId="02811053">
      <w:pPr>
        <w:autoSpaceDE w:val="0"/>
        <w:autoSpaceDN w:val="0"/>
        <w:adjustRightInd w:val="0"/>
        <w:jc w:val="center"/>
      </w:pPr>
      <w:r w:rsidRPr="00D34A8E">
        <w:t xml:space="preserve">Í Tinganesi, </w:t>
      </w:r>
      <w:r w:rsidRPr="00D34A8E" w:rsidR="002B38FB">
        <w:t xml:space="preserve">6. </w:t>
      </w:r>
      <w:r w:rsidRPr="00D34A8E">
        <w:t>mai 2022</w:t>
      </w:r>
    </w:p>
    <w:p w:rsidRPr="00D34A8E" w:rsidR="00501612" w:rsidP="00700558" w:rsidRDefault="00501612" w14:paraId="2AC6A4B7" w14:textId="77777777">
      <w:pPr>
        <w:autoSpaceDE w:val="0"/>
        <w:autoSpaceDN w:val="0"/>
        <w:adjustRightInd w:val="0"/>
        <w:jc w:val="center"/>
      </w:pPr>
    </w:p>
    <w:p w:rsidRPr="00D34A8E" w:rsidR="00501612" w:rsidP="00700558" w:rsidRDefault="002B38FB" w14:paraId="1C626317" w14:textId="7A382C10">
      <w:pPr>
        <w:autoSpaceDE w:val="0"/>
        <w:autoSpaceDN w:val="0"/>
        <w:adjustRightInd w:val="0"/>
        <w:jc w:val="center"/>
        <w:rPr>
          <w:b/>
          <w:bCs/>
        </w:rPr>
      </w:pPr>
      <w:r w:rsidRPr="00D34A8E">
        <w:rPr>
          <w:b/>
          <w:bCs/>
        </w:rPr>
        <w:t>Bárður á Steig Nielsen (sign.)</w:t>
      </w:r>
    </w:p>
    <w:p w:rsidRPr="00D34A8E" w:rsidR="00DF0C79" w:rsidP="00700558" w:rsidRDefault="00501612" w14:paraId="7E1080BC" w14:textId="0580290C">
      <w:pPr>
        <w:autoSpaceDE w:val="0"/>
        <w:autoSpaceDN w:val="0"/>
        <w:adjustRightInd w:val="0"/>
        <w:jc w:val="center"/>
        <w:rPr>
          <w:b/>
          <w:bCs/>
        </w:rPr>
      </w:pPr>
      <w:r w:rsidRPr="00D34A8E">
        <w:t>løgmaður</w:t>
      </w:r>
    </w:p>
    <w:p w:rsidRPr="00D34A8E" w:rsidR="00DF0C79" w:rsidP="00700558" w:rsidRDefault="00DF0C79" w14:paraId="27D7FA2C" w14:textId="10B6F934">
      <w:r w:rsidRPr="00D34A8E">
        <w:rPr>
          <w:bCs/>
        </w:rPr>
        <w:t>L</w:t>
      </w:r>
      <w:r w:rsidRPr="00D34A8E" w:rsidR="00501612">
        <w:rPr>
          <w:bCs/>
        </w:rPr>
        <w:t xml:space="preserve">m. nr. </w:t>
      </w:r>
      <w:r w:rsidRPr="00D34A8E">
        <w:rPr>
          <w:bCs/>
        </w:rPr>
        <w:t>63/2021</w:t>
      </w:r>
    </w:p>
    <w:sectPr w:rsidRPr="00D34A8E" w:rsidR="00DF0C79" w:rsidSect="00F628EC">
      <w:headerReference w:type="even" r:id="rId6"/>
      <w:headerReference w:type="default" r:id="rId7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F70E" w14:textId="77777777" w:rsidR="00DF0C79" w:rsidRDefault="00DF0C79" w:rsidP="00DF0C79">
      <w:r>
        <w:separator/>
      </w:r>
    </w:p>
  </w:endnote>
  <w:endnote w:type="continuationSeparator" w:id="0">
    <w:p w14:paraId="5AA4813F" w14:textId="77777777" w:rsidR="00DF0C79" w:rsidRDefault="00DF0C79" w:rsidP="00DF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1BC9" w14:textId="77777777" w:rsidR="00DF0C79" w:rsidRDefault="00DF0C79" w:rsidP="00DF0C79">
      <w:r>
        <w:separator/>
      </w:r>
    </w:p>
  </w:footnote>
  <w:footnote w:type="continuationSeparator" w:id="0">
    <w:p w14:paraId="78988A1A" w14:textId="77777777" w:rsidR="00DF0C79" w:rsidRDefault="00DF0C79" w:rsidP="00DF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A102" w14:textId="77777777" w:rsidR="00284AA4" w:rsidRPr="00DA32B2" w:rsidRDefault="00F7493D">
    <w:pPr>
      <w:pStyle w:val="Sidehoved"/>
    </w:pPr>
  </w:p>
  <w:p w14:paraId="623786CB" w14:textId="77777777" w:rsidR="00284AA4" w:rsidRPr="00DA32B2" w:rsidRDefault="00F749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30B4" w14:textId="77777777" w:rsidR="00284AA4" w:rsidRPr="00DA32B2" w:rsidRDefault="00F7493D" w:rsidP="00D44575">
    <w:pPr>
      <w:pStyle w:val="Sidehoved"/>
      <w:tabs>
        <w:tab w:val="left" w:pos="3690"/>
      </w:tabs>
      <w:spacing w:before="24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f_styles_version" w:val="6"/>
  </w:docVars>
  <w:rsids>
    <w:rsidRoot w:val="00DF0C79"/>
    <w:rsid w:val="000367EA"/>
    <w:rsid w:val="002B38FB"/>
    <w:rsid w:val="00303884"/>
    <w:rsid w:val="00501612"/>
    <w:rsid w:val="00544A18"/>
    <w:rsid w:val="006F5983"/>
    <w:rsid w:val="00700558"/>
    <w:rsid w:val="0098302C"/>
    <w:rsid w:val="00A6721A"/>
    <w:rsid w:val="00B00AE2"/>
    <w:rsid w:val="00C51D6B"/>
    <w:rsid w:val="00D34A8E"/>
    <w:rsid w:val="00DF0C79"/>
    <w:rsid w:val="00EC48AB"/>
    <w:rsid w:val="00F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F106"/>
  <w15:chartTrackingRefBased/>
  <w15:docId w15:val="{75859CEC-CC02-4867-9372-8240D38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0C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0C79"/>
    <w:rPr>
      <w:rFonts w:ascii="Times New Roman" w:eastAsia="Calibri" w:hAnsi="Times New Roman" w:cs="Times New Roman"/>
      <w:sz w:val="24"/>
      <w:lang w:eastAsia="fo-FO"/>
    </w:rPr>
  </w:style>
  <w:style w:type="paragraph" w:styleId="Sidefod">
    <w:name w:val="footer"/>
    <w:basedOn w:val="Normal"/>
    <w:link w:val="SidefodTegn"/>
    <w:uiPriority w:val="99"/>
    <w:unhideWhenUsed/>
    <w:rsid w:val="00DF0C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F0C79"/>
    <w:rPr>
      <w:rFonts w:ascii="Times New Roman" w:eastAsia="Calibri" w:hAnsi="Times New Roman" w:cs="Times New Roman"/>
      <w:sz w:val="24"/>
      <w:lang w:eastAsia="fo-FO"/>
    </w:rPr>
  </w:style>
  <w:style w:type="paragraph" w:customStyle="1" w:styleId="Afsnitsnummer">
    <w:name w:val="Afsnitsnummer"/>
    <w:basedOn w:val="Normal"/>
    <w:link w:val="AfsnitsnummerTegn"/>
    <w:rsid w:val="00F628EC"/>
    <w:pPr>
      <w:keepNext/>
      <w:spacing w:before="240"/>
      <w:jc w:val="center"/>
    </w:pPr>
    <w:rPr>
      <w:b/>
      <w:noProof/>
    </w:rPr>
  </w:style>
  <w:style w:type="character" w:customStyle="1" w:styleId="AfsnitsnummerTegn">
    <w:name w:val="Afsnitsnummer Tegn"/>
    <w:basedOn w:val="Standardskrifttypeiafsnit"/>
    <w:link w:val="Afsnitsnummer"/>
    <w:rsid w:val="00F628EC"/>
    <w:rPr>
      <w:rFonts w:ascii="Times New Roman" w:eastAsia="Calibri" w:hAnsi="Times New Roman" w:cs="Times New Roman"/>
      <w:b/>
      <w:noProof/>
      <w:sz w:val="24"/>
      <w:szCs w:val="24"/>
      <w:lang w:val="en-US" w:eastAsia="fo-FO"/>
    </w:rPr>
  </w:style>
  <w:style w:type="paragraph" w:customStyle="1" w:styleId="Afsnitsoverskrift">
    <w:name w:val="Afsnitsoverskrift"/>
    <w:basedOn w:val="Afsnitsnummer"/>
    <w:link w:val="AfsnitsoverskriftTegn"/>
    <w:rsid w:val="00F628EC"/>
    <w:pPr>
      <w:suppressAutoHyphens/>
    </w:pPr>
  </w:style>
  <w:style w:type="character" w:customStyle="1" w:styleId="AfsnitsoverskriftTegn">
    <w:name w:val="Afsnitsoverskrift Tegn"/>
    <w:basedOn w:val="Standardskrifttypeiafsnit"/>
    <w:link w:val="Afsnitsoverskrift"/>
    <w:rsid w:val="00F628EC"/>
    <w:rPr>
      <w:rFonts w:ascii="Times New Roman" w:eastAsia="Calibri" w:hAnsi="Times New Roman" w:cs="Times New Roman"/>
      <w:b/>
      <w:noProof/>
      <w:sz w:val="24"/>
      <w:szCs w:val="24"/>
      <w:lang w:val="en-US" w:eastAsia="fo-FO"/>
    </w:rPr>
  </w:style>
  <w:style w:type="paragraph" w:customStyle="1" w:styleId="Indledning">
    <w:name w:val="Indledning"/>
    <w:basedOn w:val="Normal"/>
    <w:link w:val="IndledningTegn"/>
    <w:rsid w:val="00F628EC"/>
    <w:pPr>
      <w:spacing w:before="240"/>
      <w:ind w:firstLine="397"/>
    </w:pPr>
    <w:rPr>
      <w:noProof/>
    </w:rPr>
  </w:style>
  <w:style w:type="character" w:customStyle="1" w:styleId="IndledningTegn">
    <w:name w:val="Indledning Tegn"/>
    <w:basedOn w:val="Standardskrifttypeiafsnit"/>
    <w:link w:val="Indledning"/>
    <w:rsid w:val="00F628EC"/>
    <w:rPr>
      <w:rFonts w:ascii="Times New Roman" w:eastAsia="Calibri" w:hAnsi="Times New Roman" w:cs="Times New Roman"/>
      <w:noProof/>
      <w:sz w:val="24"/>
      <w:szCs w:val="24"/>
      <w:lang w:val="en-US" w:eastAsia="fo-FO"/>
    </w:rPr>
  </w:style>
  <w:style w:type="paragraph" w:customStyle="1" w:styleId="Kapitelnummer">
    <w:name w:val="Kapitelnummer"/>
    <w:basedOn w:val="Normal"/>
    <w:link w:val="KapitelnummerTegn"/>
    <w:rsid w:val="00F628EC"/>
    <w:pPr>
      <w:keepNext/>
      <w:spacing w:before="240"/>
      <w:jc w:val="center"/>
    </w:pPr>
    <w:rPr>
      <w:b/>
      <w:noProof/>
    </w:rPr>
  </w:style>
  <w:style w:type="character" w:customStyle="1" w:styleId="KapitelnummerTegn">
    <w:name w:val="Kapitelnummer Tegn"/>
    <w:basedOn w:val="Standardskrifttypeiafsnit"/>
    <w:link w:val="Kapitelnummer"/>
    <w:rsid w:val="00F628EC"/>
    <w:rPr>
      <w:rFonts w:ascii="Times New Roman" w:eastAsia="Calibri" w:hAnsi="Times New Roman" w:cs="Times New Roman"/>
      <w:b/>
      <w:noProof/>
      <w:sz w:val="24"/>
      <w:szCs w:val="24"/>
      <w:lang w:val="en-US" w:eastAsia="fo-FO"/>
    </w:rPr>
  </w:style>
  <w:style w:type="paragraph" w:customStyle="1" w:styleId="Kapiteloverskrift">
    <w:name w:val="Kapiteloverskrift"/>
    <w:basedOn w:val="Kapitelnummer"/>
    <w:link w:val="KapiteloverskriftTegn"/>
    <w:rsid w:val="00F628EC"/>
    <w:pPr>
      <w:suppressAutoHyphens/>
      <w:spacing w:before="0"/>
    </w:pPr>
  </w:style>
  <w:style w:type="character" w:customStyle="1" w:styleId="KapiteloverskriftTegn">
    <w:name w:val="Kapiteloverskrift Tegn"/>
    <w:basedOn w:val="Standardskrifttypeiafsnit"/>
    <w:link w:val="Kapiteloverskrift"/>
    <w:rsid w:val="00F628EC"/>
    <w:rPr>
      <w:rFonts w:ascii="Times New Roman" w:eastAsia="Calibri" w:hAnsi="Times New Roman" w:cs="Times New Roman"/>
      <w:b/>
      <w:noProof/>
      <w:sz w:val="24"/>
      <w:szCs w:val="24"/>
      <w:lang w:val="en-US" w:eastAsia="fo-FO"/>
    </w:rPr>
  </w:style>
  <w:style w:type="paragraph" w:customStyle="1" w:styleId="Litra">
    <w:name w:val="Litra"/>
    <w:basedOn w:val="Normal"/>
    <w:link w:val="LitraTegn"/>
    <w:rsid w:val="00F628EC"/>
    <w:pPr>
      <w:tabs>
        <w:tab w:val="left" w:pos="397"/>
      </w:tabs>
      <w:ind w:left="794" w:hanging="397"/>
    </w:pPr>
    <w:rPr>
      <w:noProof/>
    </w:rPr>
  </w:style>
  <w:style w:type="character" w:customStyle="1" w:styleId="LitraTegn">
    <w:name w:val="Litra Tegn"/>
    <w:basedOn w:val="Standardskrifttypeiafsnit"/>
    <w:link w:val="Litra"/>
    <w:rsid w:val="00F628EC"/>
    <w:rPr>
      <w:rFonts w:ascii="Times New Roman" w:eastAsia="Calibri" w:hAnsi="Times New Roman" w:cs="Times New Roman"/>
      <w:noProof/>
      <w:sz w:val="24"/>
      <w:szCs w:val="24"/>
      <w:lang w:val="en-US" w:eastAsia="fo-FO"/>
    </w:rPr>
  </w:style>
  <w:style w:type="paragraph" w:customStyle="1" w:styleId="Nummer">
    <w:name w:val="Nummer"/>
    <w:basedOn w:val="Normal"/>
    <w:link w:val="NummerTegn"/>
    <w:rsid w:val="00F628EC"/>
    <w:pPr>
      <w:tabs>
        <w:tab w:val="left" w:pos="397"/>
      </w:tabs>
      <w:ind w:left="397" w:hanging="397"/>
    </w:pPr>
  </w:style>
  <w:style w:type="character" w:customStyle="1" w:styleId="NummerTegn">
    <w:name w:val="Nummer Tegn"/>
    <w:basedOn w:val="Standardskrifttypeiafsnit"/>
    <w:link w:val="Nummer"/>
    <w:rsid w:val="00F628EC"/>
    <w:rPr>
      <w:rFonts w:ascii="Times New Roman" w:eastAsia="Calibri" w:hAnsi="Times New Roman" w:cs="Times New Roman"/>
      <w:sz w:val="24"/>
      <w:szCs w:val="24"/>
      <w:lang w:val="en-US" w:eastAsia="fo-FO"/>
    </w:rPr>
  </w:style>
  <w:style w:type="paragraph" w:customStyle="1" w:styleId="Paragraftekst">
    <w:name w:val="Paragraftekst"/>
    <w:basedOn w:val="Normal"/>
    <w:link w:val="ParagraftekstTegn"/>
    <w:rsid w:val="00F628EC"/>
    <w:pPr>
      <w:spacing w:before="240"/>
      <w:ind w:firstLine="170"/>
    </w:pPr>
  </w:style>
  <w:style w:type="character" w:customStyle="1" w:styleId="ParagraftekstTegn">
    <w:name w:val="Paragraftekst Tegn"/>
    <w:basedOn w:val="Standardskrifttypeiafsnit"/>
    <w:link w:val="Paragraftekst"/>
    <w:rsid w:val="00F628EC"/>
    <w:rPr>
      <w:rFonts w:ascii="Times New Roman" w:eastAsia="Calibri" w:hAnsi="Times New Roman" w:cs="Times New Roman"/>
      <w:sz w:val="24"/>
      <w:szCs w:val="24"/>
      <w:lang w:val="en-US" w:eastAsia="fo-FO"/>
    </w:rPr>
  </w:style>
  <w:style w:type="paragraph" w:customStyle="1" w:styleId="Pind">
    <w:name w:val="Pind"/>
    <w:basedOn w:val="Normal"/>
    <w:link w:val="PindTegn"/>
    <w:rsid w:val="00F628EC"/>
    <w:pPr>
      <w:tabs>
        <w:tab w:val="left" w:pos="397"/>
      </w:tabs>
      <w:ind w:left="1191" w:hanging="397"/>
    </w:pPr>
  </w:style>
  <w:style w:type="character" w:customStyle="1" w:styleId="PindTegn">
    <w:name w:val="Pind Tegn"/>
    <w:basedOn w:val="Standardskrifttypeiafsnit"/>
    <w:link w:val="Pind"/>
    <w:rsid w:val="00F628EC"/>
    <w:rPr>
      <w:rFonts w:ascii="Times New Roman" w:eastAsia="Calibri" w:hAnsi="Times New Roman" w:cs="Times New Roman"/>
      <w:sz w:val="24"/>
      <w:szCs w:val="24"/>
      <w:lang w:val="en-US" w:eastAsia="fo-FO"/>
    </w:rPr>
  </w:style>
  <w:style w:type="paragraph" w:customStyle="1" w:styleId="Stk">
    <w:name w:val="Stk"/>
    <w:basedOn w:val="Normal"/>
    <w:link w:val="StkTegn"/>
    <w:rsid w:val="00F628EC"/>
    <w:pPr>
      <w:ind w:firstLine="170"/>
    </w:pPr>
  </w:style>
  <w:style w:type="character" w:customStyle="1" w:styleId="StkTegn">
    <w:name w:val="Stk Tegn"/>
    <w:basedOn w:val="Standardskrifttypeiafsnit"/>
    <w:link w:val="Stk"/>
    <w:rsid w:val="00F628EC"/>
    <w:rPr>
      <w:rFonts w:ascii="Times New Roman" w:eastAsia="Calibri" w:hAnsi="Times New Roman" w:cs="Times New Roman"/>
      <w:sz w:val="24"/>
      <w:szCs w:val="24"/>
      <w:lang w:val="en-US" w:eastAsia="fo-FO"/>
    </w:rPr>
  </w:style>
  <w:style w:type="paragraph" w:customStyle="1" w:styleId="subtitel">
    <w:name w:val="subtitel"/>
    <w:basedOn w:val="Normal"/>
    <w:link w:val="subtitelTegn"/>
    <w:rsid w:val="00F628EC"/>
    <w:pPr>
      <w:spacing w:after="60"/>
      <w:jc w:val="center"/>
    </w:pPr>
  </w:style>
  <w:style w:type="character" w:customStyle="1" w:styleId="subtitelTegn">
    <w:name w:val="subtitel Tegn"/>
    <w:basedOn w:val="Standardskrifttypeiafsnit"/>
    <w:link w:val="subtitel"/>
    <w:rsid w:val="00F628EC"/>
    <w:rPr>
      <w:rFonts w:ascii="Times New Roman" w:eastAsia="Calibri" w:hAnsi="Times New Roman" w:cs="Times New Roman"/>
      <w:sz w:val="24"/>
      <w:szCs w:val="24"/>
      <w:lang w:val="en-US" w:eastAsia="fo-FO"/>
    </w:rPr>
  </w:style>
  <w:style w:type="paragraph" w:customStyle="1" w:styleId="Tekstoverskrift">
    <w:name w:val="Tekstoverskrift"/>
    <w:basedOn w:val="Normal"/>
    <w:link w:val="TekstoverskriftTegn"/>
    <w:rsid w:val="00F628EC"/>
    <w:pPr>
      <w:suppressAutoHyphens/>
      <w:spacing w:before="240"/>
      <w:jc w:val="center"/>
    </w:pPr>
    <w:rPr>
      <w:i/>
    </w:rPr>
  </w:style>
  <w:style w:type="character" w:customStyle="1" w:styleId="TekstoverskriftTegn">
    <w:name w:val="Tekstoverskrift Tegn"/>
    <w:basedOn w:val="Standardskrifttypeiafsnit"/>
    <w:link w:val="Tekstoverskrift"/>
    <w:rsid w:val="00F628EC"/>
    <w:rPr>
      <w:rFonts w:ascii="Times New Roman" w:eastAsia="Calibri" w:hAnsi="Times New Roman" w:cs="Times New Roman"/>
      <w:i/>
      <w:sz w:val="24"/>
      <w:szCs w:val="24"/>
      <w:lang w:val="en-US" w:eastAsia="fo-FO"/>
    </w:rPr>
  </w:style>
  <w:style w:type="paragraph" w:styleId="Titel">
    <w:name w:val="Title"/>
    <w:basedOn w:val="Normal"/>
    <w:next w:val="Normal"/>
    <w:link w:val="TitelTegn"/>
    <w:uiPriority w:val="10"/>
    <w:qFormat/>
    <w:rsid w:val="00F628EC"/>
    <w:pPr>
      <w:suppressAutoHyphens/>
      <w:spacing w:before="240" w:after="60"/>
      <w:jc w:val="center"/>
    </w:pPr>
    <w:rPr>
      <w:rFonts w:eastAsiaTheme="majorEastAsia"/>
      <w:noProof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F628EC"/>
    <w:rPr>
      <w:rFonts w:ascii="Times New Roman" w:eastAsiaTheme="majorEastAsia" w:hAnsi="Times New Roman" w:cs="Times New Roman"/>
      <w:noProof/>
      <w:sz w:val="32"/>
      <w:szCs w:val="24"/>
      <w:lang w:val="en-US" w:eastAsia="fo-FO"/>
    </w:rPr>
  </w:style>
  <w:style w:type="paragraph" w:customStyle="1" w:styleId="topnrdato">
    <w:name w:val="topnrdato"/>
    <w:basedOn w:val="Normal"/>
    <w:link w:val="topnrdatoTegn"/>
    <w:rsid w:val="00F628EC"/>
    <w:pPr>
      <w:tabs>
        <w:tab w:val="right" w:pos="9638"/>
      </w:tabs>
    </w:pPr>
  </w:style>
  <w:style w:type="character" w:customStyle="1" w:styleId="topnrdatoTegn">
    <w:name w:val="topnrdato Tegn"/>
    <w:basedOn w:val="Standardskrifttypeiafsnit"/>
    <w:link w:val="topnrdato"/>
    <w:rsid w:val="00F628EC"/>
    <w:rPr>
      <w:rFonts w:ascii="Times New Roman" w:eastAsia="Calibri" w:hAnsi="Times New Roman" w:cs="Times New Roman"/>
      <w:sz w:val="24"/>
      <w:szCs w:val="24"/>
      <w:lang w:val="en-US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Beinta Isaksen</dc:creator>
  <cp:keywords/>
  <dc:description/>
  <cp:lastModifiedBy>Mortan Hentze</cp:lastModifiedBy>
  <cp:revision>2</cp:revision>
  <cp:lastPrinted>2022-05-04T09:19:00Z</cp:lastPrinted>
  <dcterms:created xsi:type="dcterms:W3CDTF">2022-05-10T09:36:00Z</dcterms:created>
  <dcterms:modified xsi:type="dcterms:W3CDTF">2022-05-10T09:36:00Z</dcterms:modified>
</cp:coreProperties>
</file>